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8750B">
      <w:pPr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  <w:sz w:val="28"/>
          <w:szCs w:val="36"/>
        </w:rPr>
        <w:t>舒泰50（Zoletil 50） + 赛拉嗪（Xylazine）</w:t>
      </w:r>
    </w:p>
    <w:p w14:paraId="53DE9640">
      <w:pPr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114300" distR="114300">
            <wp:extent cx="1357630" cy="944245"/>
            <wp:effectExtent l="0" t="0" r="1397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/>
          <w:lang w:val="en-US" w:eastAsia="zh-CN"/>
        </w:rPr>
        <w:t xml:space="preserve">    </w:t>
      </w:r>
      <w:r>
        <w:rPr>
          <w:rFonts w:ascii="Times New Roman" w:hAnsi="Times New Roman" w:eastAsia="宋体" w:cs="宋体"/>
          <w:sz w:val="24"/>
          <w:szCs w:val="24"/>
        </w:rPr>
        <w:drawing>
          <wp:inline distT="0" distB="0" distL="114300" distR="114300">
            <wp:extent cx="1716405" cy="963295"/>
            <wp:effectExtent l="0" t="0" r="17145" b="825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963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3D4230">
      <w:pPr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舒泰-50（Zoletil 50）</w:t>
      </w:r>
    </w:p>
    <w:p w14:paraId="36A3160B">
      <w:pPr>
        <w:rPr>
          <w:rFonts w:hint="default" w:ascii="Times New Roman" w:hAnsi="Times New Roman" w:eastAsia="宋体"/>
          <w:b w:val="0"/>
          <w:bCs w:val="0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舒泰是一种全新的注射用麻醉剂，含有分离型麻醉剂成分替来他明(Tiletamine)，和兼有镇定剂和肌肉松弛的作用的唑拉西泮(Zolazepam)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，在全身麻醉时，舒泰能够保证诱导时间短、极小的副作用和最大的安全性。在经肌肉和静脉途径注射时，舒泰具有良好的局部受耐性。麻醉诱导迅速、肌松效果好、镇痛强、苏醒快。</w:t>
      </w:r>
    </w:p>
    <w:p w14:paraId="05D187B3">
      <w:pPr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  <w:lang w:val="en-US" w:eastAsia="zh-CN"/>
        </w:rPr>
        <w:t>速眠新</w:t>
      </w:r>
    </w:p>
    <w:p w14:paraId="229C4993">
      <w:pPr>
        <w:rPr>
          <w:rFonts w:hint="default" w:ascii="Times New Roman" w:hAnsi="Times New Roman" w:eastAsia="宋体"/>
          <w:b w:val="0"/>
          <w:bCs w:val="0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赛拉嗪：是一种常用的镇静催眠药, 属于α-肾上腺素能受体激动剂, 对多种动物有确切的镇静、肌松和微弱的镇痛作用, 为兽医临床常用麻醉药。主要应用为赛拉嗪与舒泰复合使用，复合剂可增强麻醉和镇痛效果, 并且能够降低舒泰的给药剂量, 减小单用时的副作用, 从而产生良好的麻醉效果。</w:t>
      </w:r>
    </w:p>
    <w:p w14:paraId="61892E2D">
      <w:pPr>
        <w:rPr>
          <w:rFonts w:hint="default" w:ascii="Times New Roman" w:hAnsi="Times New Roman" w:eastAsia="宋体"/>
          <w:b w:val="0"/>
          <w:bCs w:val="0"/>
          <w:lang w:val="en-US" w:eastAsia="zh-CN"/>
        </w:rPr>
      </w:pPr>
    </w:p>
    <w:p w14:paraId="08B12A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  <w:lang w:val="en-US" w:eastAsia="zh-CN"/>
        </w:rPr>
        <w:t>推荐使用方法</w:t>
      </w:r>
    </w:p>
    <w:p w14:paraId="6CE3D5AC">
      <w:pPr>
        <w:numPr>
          <w:ilvl w:val="0"/>
          <w:numId w:val="2"/>
        </w:numPr>
        <w:ind w:left="420" w:leftChars="0" w:hanging="420" w:firstLineChars="0"/>
        <w:rPr>
          <w:rFonts w:hint="eastAsia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  <w:lang w:val="en-US" w:eastAsia="zh-CN"/>
        </w:rPr>
        <w:t>工作液配置</w:t>
      </w:r>
    </w:p>
    <w:p w14:paraId="0441B6D4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eastAsia="宋体"/>
          <w:b w:val="0"/>
          <w:bCs w:val="0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将250 mg舒泰50冻干粉与5 ml包装内无菌注射用水混匀，使药品充分溶解；</w:t>
      </w:r>
    </w:p>
    <w:p w14:paraId="253AF37C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eastAsia="宋体"/>
          <w:b w:val="0"/>
          <w:bCs w:val="0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按照舒泰50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：</w:t>
      </w: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速眠新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（V/V）=4:1的比例</w:t>
      </w: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混合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，</w:t>
      </w: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充分混匀后使用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（也可加入无菌PBS或</w:t>
      </w: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生理盐水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进行10倍稀释后使用）</w:t>
      </w:r>
    </w:p>
    <w:p w14:paraId="4798678A">
      <w:pPr>
        <w:widowControl w:val="0"/>
        <w:numPr>
          <w:ilvl w:val="0"/>
          <w:numId w:val="4"/>
        </w:numPr>
        <w:ind w:left="420" w:leftChars="0" w:hanging="420" w:firstLineChars="0"/>
        <w:jc w:val="both"/>
        <w:rPr>
          <w:rFonts w:hint="default" w:ascii="Times New Roman" w:hAnsi="Times New Roman" w:eastAsia="宋体"/>
          <w:b w:val="0"/>
          <w:bCs w:val="0"/>
          <w:lang w:val="en-US" w:eastAsia="zh-CN"/>
        </w:rPr>
      </w:pPr>
      <w:r>
        <w:rPr>
          <w:rFonts w:ascii="Times New Roman" w:hAnsi="Times New Roman" w:eastAsia="宋体"/>
          <w:b/>
          <w:bCs/>
        </w:rPr>
        <w:t>给药途径</w:t>
      </w:r>
      <w:r>
        <w:rPr>
          <w:rFonts w:hint="default" w:ascii="Times New Roman" w:hAnsi="Times New Roman" w:eastAsia="宋体"/>
          <w:b/>
          <w:bCs/>
        </w:rPr>
        <w:t>：</w:t>
      </w: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常采用腹腔注射（IP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）</w:t>
      </w: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或肌肉注射（IM） </w:t>
      </w:r>
    </w:p>
    <w:p w14:paraId="5F65D743">
      <w:pPr>
        <w:widowControl w:val="0"/>
        <w:numPr>
          <w:ilvl w:val="0"/>
          <w:numId w:val="4"/>
        </w:numPr>
        <w:ind w:left="420" w:leftChars="0" w:hanging="420" w:firstLineChars="0"/>
        <w:jc w:val="both"/>
        <w:rPr>
          <w:rFonts w:hint="default" w:ascii="Times New Roman" w:hAnsi="Times New Roman" w:eastAsia="宋体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/>
          <w:b/>
          <w:bCs/>
          <w:lang w:val="en-US" w:eastAsia="zh-CN"/>
        </w:rPr>
        <w:t>小鼠推荐剂量</w:t>
      </w:r>
      <w:r>
        <w:rPr>
          <w:rFonts w:hint="eastAsia" w:ascii="Times New Roman" w:hAnsi="Times New Roman" w:eastAsia="宋体"/>
          <w:b/>
          <w:bCs/>
          <w:lang w:val="en-US" w:eastAsia="zh-CN"/>
        </w:rPr>
        <w:t>：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舒泰50（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25.0mg/kg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）+速眠新</w:t>
      </w:r>
      <w:r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  <w:t>Ⅱ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（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12.5mg/kg)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，10倍稀释条件下注射剂量为0.1ml/20g</w:t>
      </w:r>
    </w:p>
    <w:p w14:paraId="07ED54A8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eastAsia="宋体"/>
          <w:b w:val="0"/>
          <w:bCs w:val="0"/>
          <w:lang w:val="en-US" w:eastAsia="zh-CN"/>
        </w:rPr>
      </w:pPr>
      <w:r>
        <w:rPr>
          <w:rFonts w:hint="default" w:ascii="Times New Roman" w:hAnsi="Times New Roman" w:eastAsia="宋体"/>
          <w:b/>
          <w:bCs/>
          <w:lang w:val="en-US" w:eastAsia="zh-CN"/>
        </w:rPr>
        <w:t>麻醉维持时间</w:t>
      </w: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：诱导麻醉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约8分钟，维持麻醉90~120分钟，</w:t>
      </w: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最佳的手术操作窗口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20-6</w:t>
      </w: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0分钟</w:t>
      </w:r>
    </w:p>
    <w:p w14:paraId="02AF245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eastAsia="宋体"/>
          <w:b/>
          <w:bCs/>
          <w:lang w:val="en-US" w:eastAsia="zh-CN"/>
        </w:rPr>
      </w:pPr>
    </w:p>
    <w:p w14:paraId="1DB755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default" w:ascii="Times New Roman" w:hAnsi="Times New Roman" w:eastAsia="宋体"/>
          <w:b/>
          <w:bCs/>
          <w:lang w:val="en-US" w:eastAsia="zh-CN"/>
        </w:rPr>
        <w:t>注意事项</w:t>
      </w:r>
    </w:p>
    <w:p w14:paraId="5E894AC9">
      <w:pPr>
        <w:widowControl w:val="0"/>
        <w:numPr>
          <w:ilvl w:val="0"/>
          <w:numId w:val="5"/>
        </w:numPr>
        <w:ind w:left="425" w:leftChars="0" w:hanging="425" w:firstLineChars="0"/>
        <w:jc w:val="both"/>
        <w:rPr>
          <w:rFonts w:hint="default" w:ascii="Times New Roman" w:hAnsi="Times New Roman" w:eastAsia="宋体"/>
          <w:b w:val="0"/>
          <w:bCs w:val="0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不同品系动物对赛拉嗪的敏感性差异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较大</w:t>
      </w: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（例如，C57BL/6小鼠比BALB/c更敏感）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，体重仅是参考，需根据动物健康状况、品系、年龄等因素调整，“先低后高” 的安全原则</w:t>
      </w:r>
    </w:p>
    <w:p w14:paraId="7C60960E">
      <w:pPr>
        <w:widowControl w:val="0"/>
        <w:numPr>
          <w:ilvl w:val="0"/>
          <w:numId w:val="5"/>
        </w:numPr>
        <w:ind w:left="425" w:leftChars="0" w:hanging="425" w:firstLineChars="0"/>
        <w:jc w:val="both"/>
        <w:rPr>
          <w:rFonts w:hint="default" w:ascii="Times New Roman" w:hAnsi="Times New Roman" w:eastAsia="宋体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工作液最好现</w:t>
      </w: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配现用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，4℃</w:t>
      </w: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保存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，为了保证麻醉剂的麻醉效果，配制的混合液建议在1周之内使用完毕</w:t>
      </w:r>
    </w:p>
    <w:p w14:paraId="021E5B14">
      <w:pPr>
        <w:widowControl w:val="0"/>
        <w:numPr>
          <w:ilvl w:val="0"/>
          <w:numId w:val="5"/>
        </w:numPr>
        <w:ind w:left="425" w:leftChars="0" w:hanging="425" w:firstLineChars="0"/>
        <w:jc w:val="both"/>
        <w:rPr>
          <w:rFonts w:hint="default" w:ascii="Times New Roman" w:hAnsi="Times New Roman" w:eastAsia="宋体"/>
          <w:b w:val="0"/>
          <w:bCs w:val="0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舒泰的镇痛作用时间短于其镇静作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，</w:t>
      </w: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在动物苏醒前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可追加</w:t>
      </w: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术后镇痛方案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（如皮下注射</w:t>
      </w: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美洛昔康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等）</w:t>
      </w:r>
    </w:p>
    <w:p w14:paraId="377BA7B5">
      <w:pPr>
        <w:widowControl w:val="0"/>
        <w:numPr>
          <w:ilvl w:val="0"/>
          <w:numId w:val="5"/>
        </w:numPr>
        <w:ind w:left="425" w:leftChars="0" w:hanging="425" w:firstLineChars="0"/>
        <w:jc w:val="both"/>
        <w:rPr>
          <w:rFonts w:hint="default" w:ascii="Times New Roman" w:hAnsi="Times New Roman" w:eastAsia="宋体"/>
          <w:b w:val="0"/>
          <w:bCs w:val="0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赛拉嗪会引起显著的心动过缓、呼吸抑制和体温过低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，术后需做好保温措施，防止低温致死</w:t>
      </w:r>
    </w:p>
    <w:p w14:paraId="2451D5D2">
      <w:pPr>
        <w:widowControl w:val="0"/>
        <w:numPr>
          <w:numId w:val="0"/>
        </w:numPr>
        <w:jc w:val="both"/>
        <w:rPr>
          <w:rFonts w:hint="default" w:ascii="Times New Roman" w:hAnsi="Times New Roman" w:eastAsia="宋体"/>
          <w:b w:val="0"/>
          <w:bCs w:val="0"/>
          <w:lang w:val="en-US" w:eastAsia="zh-CN"/>
        </w:rPr>
      </w:pPr>
    </w:p>
    <w:p w14:paraId="5E5C67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  <w:lang w:val="en-US" w:eastAsia="zh-CN"/>
        </w:rPr>
        <w:t>参考文献</w:t>
      </w:r>
    </w:p>
    <w:p w14:paraId="360D23D3">
      <w:pPr>
        <w:widowControl w:val="0"/>
        <w:numPr>
          <w:numId w:val="0"/>
        </w:numPr>
        <w:jc w:val="both"/>
        <w:rPr>
          <w:rFonts w:hint="default" w:ascii="Times New Roman" w:hAnsi="Times New Roman" w:eastAsia="宋体"/>
          <w:b w:val="0"/>
          <w:bCs w:val="0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[1]卢晓,于灵芝,周聪颖,等.常用实验动物全身性麻醉药物的使用[J].实验动物与比较医学,2022,42(01):18-25.</w:t>
      </w:r>
    </w:p>
    <w:p w14:paraId="6EB13976">
      <w:pPr>
        <w:widowControl w:val="0"/>
        <w:numPr>
          <w:numId w:val="0"/>
        </w:numPr>
        <w:jc w:val="both"/>
        <w:rPr>
          <w:rFonts w:hint="default" w:ascii="Times New Roman" w:hAnsi="Times New Roman" w:eastAsia="宋体"/>
          <w:b w:val="0"/>
          <w:bCs w:val="0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[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2</w:t>
      </w: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]王成稷,柴青,龚慧,等.不同剂量舒泰联合盐酸赛拉嗪对C57BL/6J小鼠的麻醉效果观察[J].实验动物与比较医学,2022,42(01):31-35.</w:t>
      </w:r>
    </w:p>
    <w:p w14:paraId="5BEAE66C">
      <w:pPr>
        <w:widowControl w:val="0"/>
        <w:numPr>
          <w:numId w:val="0"/>
        </w:numPr>
        <w:jc w:val="both"/>
        <w:rPr>
          <w:rFonts w:hint="default" w:ascii="Times New Roman" w:hAnsi="Times New Roman" w:eastAsia="宋体"/>
          <w:b w:val="0"/>
          <w:bCs w:val="0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[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3</w:t>
      </w:r>
      <w:r>
        <w:rPr>
          <w:rFonts w:hint="default" w:ascii="Times New Roman" w:hAnsi="Times New Roman" w:eastAsia="宋体"/>
          <w:b w:val="0"/>
          <w:bCs w:val="0"/>
          <w:lang w:val="en-US" w:eastAsia="zh-CN"/>
        </w:rPr>
        <w:t>]聂永胜.舒泰50与速眠新Ⅱ混合配比对SPF小鼠麻醉效果探索及安全性评估[D].仲恺农业工程学院,2024.DOI:10.27700/d.cnki.gzcny.2024.000007.</w:t>
      </w:r>
    </w:p>
    <w:p w14:paraId="75FE74F9">
      <w:pPr>
        <w:widowControl w:val="0"/>
        <w:numPr>
          <w:numId w:val="0"/>
        </w:numPr>
        <w:jc w:val="both"/>
        <w:rPr>
          <w:rFonts w:hint="default" w:ascii="Times New Roman" w:hAnsi="Times New Roman" w:eastAsia="宋体"/>
          <w:b w:val="0"/>
          <w:bCs w:val="0"/>
          <w:lang w:val="en-US" w:eastAsia="zh-CN"/>
        </w:rPr>
      </w:pPr>
    </w:p>
    <w:p w14:paraId="37892A1E">
      <w:pPr>
        <w:widowControl w:val="0"/>
        <w:numPr>
          <w:numId w:val="0"/>
        </w:numPr>
        <w:jc w:val="both"/>
        <w:rPr>
          <w:rFonts w:hint="default" w:ascii="Times New Roman" w:hAnsi="Times New Roman" w:eastAsia="宋体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199AE5"/>
    <w:multiLevelType w:val="singleLevel"/>
    <w:tmpl w:val="9C199AE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AE91C8D1"/>
    <w:multiLevelType w:val="singleLevel"/>
    <w:tmpl w:val="AE91C8D1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D230B276"/>
    <w:multiLevelType w:val="singleLevel"/>
    <w:tmpl w:val="D230B276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2E19A3EC"/>
    <w:multiLevelType w:val="singleLevel"/>
    <w:tmpl w:val="2E19A3E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553575A4"/>
    <w:multiLevelType w:val="singleLevel"/>
    <w:tmpl w:val="553575A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B6666"/>
    <w:rsid w:val="03C54999"/>
    <w:rsid w:val="09175C96"/>
    <w:rsid w:val="0AA7304A"/>
    <w:rsid w:val="0E3A41D5"/>
    <w:rsid w:val="16041350"/>
    <w:rsid w:val="17E528BA"/>
    <w:rsid w:val="18383533"/>
    <w:rsid w:val="1C545F51"/>
    <w:rsid w:val="22EE5862"/>
    <w:rsid w:val="2F407445"/>
    <w:rsid w:val="33942334"/>
    <w:rsid w:val="382E1E58"/>
    <w:rsid w:val="41322966"/>
    <w:rsid w:val="45464C32"/>
    <w:rsid w:val="47174AD8"/>
    <w:rsid w:val="4B742A1C"/>
    <w:rsid w:val="55DF7DF0"/>
    <w:rsid w:val="569A6B8C"/>
    <w:rsid w:val="618E553F"/>
    <w:rsid w:val="643423CE"/>
    <w:rsid w:val="688F051A"/>
    <w:rsid w:val="68E649B6"/>
    <w:rsid w:val="6EA62AEE"/>
    <w:rsid w:val="7212665A"/>
    <w:rsid w:val="7B3041E8"/>
    <w:rsid w:val="7B31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2025-09-09T00:51:17Z</dcterms:created>
  <dc:creator>Administrator</dc:creator>
  <cp:lastModifiedBy>w先生</cp:lastModifiedBy>
  <dcterms:modified xsi:type="dcterms:W3CDTF">2025-09-09T08:34:44Z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eyJoZGlkIjoiMWNlZTVkZjI3NjNkMzE0ZDg3ZWY3ZmJhYzM4MzdkNTEiLCJ1c2VySWQiOiI1NTg5NjU3OTAifQ==</vt:lpwstr>
  </property>
  <property fmtid="{D5CDD505-2E9C-101B-9397-08002B2CF9AE}" pid="4" name="ICV">
    <vt:lpwstr>9A12A824FE7E4CA2BC283AE6F715289C_12</vt:lpwstr>
  </property>
</Properties>
</file>